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2323" w14:textId="472C5D04" w:rsidR="00343DB8" w:rsidRPr="00343DB8" w:rsidRDefault="00343DB8" w:rsidP="00343DB8">
      <w:pPr>
        <w:spacing w:after="0"/>
        <w:jc w:val="center"/>
        <w:rPr>
          <w:b/>
          <w:bCs/>
        </w:rPr>
      </w:pPr>
      <w:r w:rsidRPr="00343DB8">
        <w:rPr>
          <w:b/>
          <w:bCs/>
          <w:cs/>
        </w:rPr>
        <w:t>รายงานผลการใช้จ่ายงบประมาณรายจ่ายประจำปีงบประมาณ พ.ศ.2566</w:t>
      </w:r>
    </w:p>
    <w:p w14:paraId="32E1EE5A" w14:textId="0BF93F25" w:rsidR="00343DB8" w:rsidRPr="00343DB8" w:rsidRDefault="00343DB8" w:rsidP="00343DB8">
      <w:pPr>
        <w:spacing w:after="0"/>
        <w:jc w:val="center"/>
        <w:rPr>
          <w:b/>
          <w:bCs/>
        </w:rPr>
      </w:pPr>
      <w:r w:rsidRPr="00343DB8">
        <w:rPr>
          <w:b/>
          <w:bCs/>
          <w:cs/>
        </w:rPr>
        <w:t>สำนักงานเขตคลองสาน</w:t>
      </w:r>
    </w:p>
    <w:p w14:paraId="5194FCFE" w14:textId="38C348B1" w:rsidR="00605D33" w:rsidRPr="00343DB8" w:rsidRDefault="00343DB8" w:rsidP="00343DB8">
      <w:pPr>
        <w:spacing w:after="0"/>
        <w:jc w:val="center"/>
        <w:rPr>
          <w:b/>
          <w:bCs/>
        </w:rPr>
      </w:pPr>
      <w:r w:rsidRPr="00343DB8">
        <w:rPr>
          <w:b/>
          <w:bCs/>
          <w:cs/>
        </w:rPr>
        <w:t>ระหว่างวันที่ 1 ตุลาคม 2566 ถึงวันที่ 31 มีนาคม 2566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689"/>
        <w:gridCol w:w="2271"/>
        <w:gridCol w:w="2480"/>
        <w:gridCol w:w="2480"/>
      </w:tblGrid>
      <w:tr w:rsidR="00343DB8" w:rsidRPr="00343DB8" w14:paraId="12D9A7EB" w14:textId="77777777" w:rsidTr="00343DB8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2FE58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รายการงบประมาณ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451C1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อนุมัติงบประมาณ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14682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เบิกจ่ายแล้ว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ACA90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ร้อยละการเบิกจ่าย</w:t>
            </w: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(%)</w:t>
            </w:r>
          </w:p>
        </w:tc>
      </w:tr>
      <w:tr w:rsidR="00343DB8" w:rsidRPr="00343DB8" w14:paraId="48DDF45A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F4A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เงินเดือนและค่าจ้างประจำ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736" w14:textId="468CF7D7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144,052,560.00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77A" w14:textId="58B49524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65,570,790.40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A62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45.52</w:t>
            </w:r>
          </w:p>
        </w:tc>
      </w:tr>
      <w:tr w:rsidR="00343DB8" w:rsidRPr="00343DB8" w14:paraId="1CA4B2DA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F3F931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ค่าจ้างชั่วคราว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AB6DC4" w14:textId="290CC0F5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29,016,000.00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9EF568" w14:textId="1FE96AD8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12,570,043.57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3984B4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43.32</w:t>
            </w:r>
          </w:p>
        </w:tc>
      </w:tr>
      <w:tr w:rsidR="00343DB8" w:rsidRPr="00343DB8" w14:paraId="4AF10DF7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1747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ค่าตอบแทนใช้สอยและวัสดุ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6F1" w14:textId="74FDC574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55,490,350.00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0AD" w14:textId="2CBE69B1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16,795,845.69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E5E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30.27</w:t>
            </w:r>
          </w:p>
        </w:tc>
      </w:tr>
      <w:tr w:rsidR="00343DB8" w:rsidRPr="00343DB8" w14:paraId="21DF1E4A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B19333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ค่าสาธารณูปโภค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68D687" w14:textId="725D010A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6,339,300.00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FAF26D" w14:textId="17121BBA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4,083,664.74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332355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64.42</w:t>
            </w:r>
          </w:p>
        </w:tc>
      </w:tr>
      <w:tr w:rsidR="00343DB8" w:rsidRPr="00343DB8" w14:paraId="76A0AFBB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F62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ค่าครุภัณฑ์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10E" w14:textId="3ABBF260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5,477,060.00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BFD" w14:textId="641BBC42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2,153,140.00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F8F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39.31</w:t>
            </w:r>
          </w:p>
        </w:tc>
      </w:tr>
      <w:tr w:rsidR="00343DB8" w:rsidRPr="00343DB8" w14:paraId="372FA9D7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829086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ค่าที่ดินและสิ่งก่อสร้าง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EF1442" w14:textId="574E2BE2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12,099,000.00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E90EEE" w14:textId="42C39444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EE89F8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0.00</w:t>
            </w:r>
          </w:p>
        </w:tc>
      </w:tr>
      <w:tr w:rsidR="00343DB8" w:rsidRPr="00343DB8" w14:paraId="64583657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02B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เงินอุดหนุน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1E7" w14:textId="6CF6633A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19,184,600.00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46B" w14:textId="5632AAFF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5,108,011.00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D1E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26.63</w:t>
            </w:r>
          </w:p>
        </w:tc>
      </w:tr>
      <w:tr w:rsidR="00343DB8" w:rsidRPr="00343DB8" w14:paraId="2D09F341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299DC5" w14:textId="77777777" w:rsidR="00343DB8" w:rsidRPr="00343DB8" w:rsidRDefault="00343DB8" w:rsidP="00343DB8">
            <w:pPr>
              <w:spacing w:after="0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รายจ่ายอื่น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965334" w14:textId="43499803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58,189,890.00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02B40D" w14:textId="3CA30CE6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 xml:space="preserve">31,816,822.04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C23F79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color w:val="000000"/>
              </w:rPr>
              <w:t>54.68</w:t>
            </w:r>
          </w:p>
        </w:tc>
      </w:tr>
      <w:tr w:rsidR="00343DB8" w:rsidRPr="00343DB8" w14:paraId="1B5F351B" w14:textId="77777777" w:rsidTr="00343DB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5C679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รวมงบประมาณ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5C0332" w14:textId="79599350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329,848,760.00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37D17" w14:textId="7C75574D" w:rsidR="00343DB8" w:rsidRPr="00343DB8" w:rsidRDefault="00343DB8" w:rsidP="00343DB8">
            <w:pPr>
              <w:spacing w:after="0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138,098,317.44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2B2B9" w14:textId="77777777" w:rsidR="00343DB8" w:rsidRPr="00343DB8" w:rsidRDefault="00343DB8" w:rsidP="00343DB8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43DB8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41.87</w:t>
            </w:r>
          </w:p>
        </w:tc>
      </w:tr>
    </w:tbl>
    <w:p w14:paraId="4466B268" w14:textId="37192913" w:rsidR="00343DB8" w:rsidRDefault="00343DB8" w:rsidP="00343DB8">
      <w:r>
        <w:rPr>
          <w:noProof/>
          <w14:ligatures w14:val="standardContextual"/>
        </w:rPr>
        <w:drawing>
          <wp:inline distT="0" distB="0" distL="0" distR="0" wp14:anchorId="18BEB085" wp14:editId="2585FD41">
            <wp:extent cx="6305550" cy="4107180"/>
            <wp:effectExtent l="0" t="0" r="0" b="7620"/>
            <wp:docPr id="275732784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7C640809-B18D-0C97-623B-5FF356D20C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6AD3764" w14:textId="77777777" w:rsidR="00343DB8" w:rsidRPr="00343DB8" w:rsidRDefault="00343DB8" w:rsidP="00343DB8">
      <w:pPr>
        <w:spacing w:after="0"/>
        <w:rPr>
          <w:b/>
          <w:bCs/>
        </w:rPr>
      </w:pPr>
      <w:r w:rsidRPr="00343DB8">
        <w:rPr>
          <w:b/>
          <w:bCs/>
          <w:cs/>
        </w:rPr>
        <w:t>เป้าหมาย</w:t>
      </w:r>
    </w:p>
    <w:p w14:paraId="4BC6505E" w14:textId="76BE21EC" w:rsidR="00343DB8" w:rsidRDefault="00343DB8" w:rsidP="00343DB8">
      <w:pPr>
        <w:spacing w:after="0"/>
      </w:pPr>
      <w:r>
        <w:t xml:space="preserve"> - </w:t>
      </w:r>
      <w:r>
        <w:rPr>
          <w:cs/>
        </w:rPr>
        <w:t xml:space="preserve">เป้าหมายการใช้จ่ายงบประมาณไตรมาสที่ </w:t>
      </w:r>
      <w:r>
        <w:t>2</w:t>
      </w:r>
      <w:r>
        <w:rPr>
          <w:cs/>
        </w:rPr>
        <w:t xml:space="preserve">  ร้อยละ </w:t>
      </w:r>
      <w:r>
        <w:t>54</w:t>
      </w:r>
      <w:r>
        <w:rPr>
          <w:cs/>
        </w:rPr>
        <w:t xml:space="preserve"> ปัจจุบันเบิกจ่ายเรียบร้อยแล้ว คิดเป็นร้อยละ </w:t>
      </w:r>
      <w:r>
        <w:t>41.87</w:t>
      </w:r>
      <w:r>
        <w:rPr>
          <w:cs/>
        </w:rPr>
        <w:t xml:space="preserve">  </w:t>
      </w:r>
      <w:r>
        <w:rPr>
          <w:cs/>
        </w:rPr>
        <w:br/>
      </w:r>
      <w:r>
        <w:rPr>
          <w:rFonts w:hint="cs"/>
          <w:cs/>
        </w:rPr>
        <w:t xml:space="preserve">   </w:t>
      </w:r>
      <w:r>
        <w:rPr>
          <w:cs/>
        </w:rPr>
        <w:t>ซึ่งยังไม่เป็นไปตามเป้าหมาย</w:t>
      </w:r>
    </w:p>
    <w:p w14:paraId="1205F1C1" w14:textId="77777777" w:rsidR="00343DB8" w:rsidRPr="00343DB8" w:rsidRDefault="00343DB8" w:rsidP="00343DB8">
      <w:pPr>
        <w:spacing w:after="0"/>
        <w:rPr>
          <w:b/>
          <w:bCs/>
        </w:rPr>
      </w:pPr>
      <w:r w:rsidRPr="00343DB8">
        <w:rPr>
          <w:b/>
          <w:bCs/>
          <w:cs/>
        </w:rPr>
        <w:t>ปัญหาและอุปสรรค</w:t>
      </w:r>
    </w:p>
    <w:p w14:paraId="09183728" w14:textId="77777777" w:rsidR="00343DB8" w:rsidRDefault="00343DB8" w:rsidP="00343DB8">
      <w:pPr>
        <w:spacing w:after="0"/>
      </w:pPr>
      <w:r>
        <w:t xml:space="preserve"> - </w:t>
      </w:r>
      <w:r>
        <w:rPr>
          <w:cs/>
        </w:rPr>
        <w:t xml:space="preserve">งบประมาณบางรายการที่ดำเนินการโดยวิธี </w:t>
      </w:r>
      <w:r>
        <w:t xml:space="preserve">e-bidding </w:t>
      </w:r>
      <w:r>
        <w:rPr>
          <w:cs/>
        </w:rPr>
        <w:t>ไม่มีผู้รับจ้างยื่นเสนอราคา ทำให้ต้องยกเลิกการดำเนินการ</w:t>
      </w:r>
    </w:p>
    <w:p w14:paraId="6343B239" w14:textId="0108BC4C" w:rsidR="00343DB8" w:rsidRDefault="00343DB8" w:rsidP="00343DB8">
      <w:pPr>
        <w:spacing w:after="0"/>
      </w:pPr>
      <w:r>
        <w:rPr>
          <w:cs/>
        </w:rPr>
        <w:t xml:space="preserve">   ในครั้งนั้นไป ทำให้ล่าช้า ไม่เป็นไปตามแผนการใช้จ่ายงบประมาณ</w:t>
      </w:r>
    </w:p>
    <w:sectPr w:rsidR="00343DB8" w:rsidSect="00343DB8">
      <w:pgSz w:w="11906" w:h="16838"/>
      <w:pgMar w:top="567" w:right="851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8"/>
    <w:rsid w:val="00134136"/>
    <w:rsid w:val="00343DB8"/>
    <w:rsid w:val="006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F799"/>
  <w15:chartTrackingRefBased/>
  <w15:docId w15:val="{92E60831-50D3-48CC-A5C3-3D558167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136"/>
    <w:pPr>
      <w:spacing w:after="12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-CSO\Downloads\&#3619;&#3634;&#3618;&#3591;&#3634;&#3609;&#3612;&#3621;&#3585;&#3634;&#3619;&#3651;&#3594;&#3657;&#3592;&#3656;&#3634;&#3618;&#3591;&#3610;&#3611;&#3619;&#3632;&#3617;&#3634;&#3603;&#3631;%20(O17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B050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 b="1">
                <a:solidFill>
                  <a:srgbClr val="00B050"/>
                </a:solidFill>
                <a:latin typeface="TH Sarabun New" panose="020B0500040200020003" pitchFamily="34" charset="-34"/>
                <a:cs typeface="TH Sarabun New" panose="020B0500040200020003" pitchFamily="34" charset="-34"/>
              </a:rPr>
              <a:t>การใช้จ่ายงบประมาณรายจ่ายประจำปีงบประมาณ พ.ศ. 2566 ของสำนักงานเขตคลองสาน</a:t>
            </a:r>
          </a:p>
          <a:p>
            <a:pPr>
              <a:defRPr b="1">
                <a:solidFill>
                  <a:srgbClr val="00B050"/>
                </a:solidFill>
                <a:latin typeface="TH Sarabun New" panose="020B0500040200020003" pitchFamily="34" charset="-34"/>
                <a:cs typeface="TH Sarabun New" panose="020B0500040200020003" pitchFamily="34" charset="-34"/>
              </a:defRPr>
            </a:pPr>
            <a:r>
              <a:rPr lang="th-TH" b="1">
                <a:solidFill>
                  <a:srgbClr val="00B050"/>
                </a:solidFill>
                <a:latin typeface="TH Sarabun New" panose="020B0500040200020003" pitchFamily="34" charset="-34"/>
                <a:cs typeface="TH Sarabun New" panose="020B0500040200020003" pitchFamily="34" charset="-34"/>
              </a:rPr>
              <a:t>ระหว่างวันที่</a:t>
            </a:r>
            <a:r>
              <a:rPr lang="th-TH" b="1" baseline="0">
                <a:solidFill>
                  <a:srgbClr val="00B050"/>
                </a:solidFill>
                <a:latin typeface="TH Sarabun New" panose="020B0500040200020003" pitchFamily="34" charset="-34"/>
                <a:cs typeface="TH Sarabun New" panose="020B0500040200020003" pitchFamily="34" charset="-34"/>
              </a:rPr>
              <a:t> 1 ต.ค.2566 - 31 มี.ค.2566</a:t>
            </a:r>
            <a:endParaRPr lang="th-TH" b="1">
              <a:solidFill>
                <a:srgbClr val="00B050"/>
              </a:solidFill>
              <a:latin typeface="TH Sarabun New" panose="020B0500040200020003" pitchFamily="34" charset="-34"/>
              <a:cs typeface="TH Sarabun New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B050"/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อนุมัติงบประมาณ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Sheet1!$A$6:$A$14</c:f>
              <c:strCache>
                <c:ptCount val="9"/>
                <c:pt idx="0">
                  <c:v>เงินเดือนและค่าจ้างประจำ</c:v>
                </c:pt>
                <c:pt idx="1">
                  <c:v>ค่าจ้างชั่วคราว</c:v>
                </c:pt>
                <c:pt idx="2">
                  <c:v>ค่าตอบแทนใช้สอยและวัสดุ</c:v>
                </c:pt>
                <c:pt idx="3">
                  <c:v>ค่าสาธารณูปโภค</c:v>
                </c:pt>
                <c:pt idx="4">
                  <c:v>ค่าครุภัณฑ์</c:v>
                </c:pt>
                <c:pt idx="5">
                  <c:v>ค่าที่ดินและสิ่งก่อสร้าง</c:v>
                </c:pt>
                <c:pt idx="6">
                  <c:v>เงินอุดหนุน</c:v>
                </c:pt>
                <c:pt idx="7">
                  <c:v>รายจ่ายอื่น</c:v>
                </c:pt>
                <c:pt idx="8">
                  <c:v>รวมงบประมาณ</c:v>
                </c:pt>
              </c:strCache>
            </c:strRef>
          </c:cat>
          <c:val>
            <c:numRef>
              <c:f>Sheet1!$B$6:$B$14</c:f>
              <c:numCache>
                <c:formatCode>_(* #,##0.00_);_(* \(#,##0.00\);_(* "-"??_);_(@_)</c:formatCode>
                <c:ptCount val="9"/>
                <c:pt idx="0">
                  <c:v>144052560</c:v>
                </c:pt>
                <c:pt idx="1">
                  <c:v>29016000</c:v>
                </c:pt>
                <c:pt idx="2">
                  <c:v>55490350</c:v>
                </c:pt>
                <c:pt idx="3">
                  <c:v>6339300</c:v>
                </c:pt>
                <c:pt idx="4">
                  <c:v>5477060</c:v>
                </c:pt>
                <c:pt idx="5">
                  <c:v>12099000</c:v>
                </c:pt>
                <c:pt idx="6">
                  <c:v>19184600</c:v>
                </c:pt>
                <c:pt idx="7">
                  <c:v>58189890</c:v>
                </c:pt>
                <c:pt idx="8">
                  <c:v>329848760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D-4EBF-A508-BF2431545473}"/>
            </c:ext>
          </c:extLst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เบิกจ่ายแล้ว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Sheet1!$A$6:$A$14</c:f>
              <c:strCache>
                <c:ptCount val="9"/>
                <c:pt idx="0">
                  <c:v>เงินเดือนและค่าจ้างประจำ</c:v>
                </c:pt>
                <c:pt idx="1">
                  <c:v>ค่าจ้างชั่วคราว</c:v>
                </c:pt>
                <c:pt idx="2">
                  <c:v>ค่าตอบแทนใช้สอยและวัสดุ</c:v>
                </c:pt>
                <c:pt idx="3">
                  <c:v>ค่าสาธารณูปโภค</c:v>
                </c:pt>
                <c:pt idx="4">
                  <c:v>ค่าครุภัณฑ์</c:v>
                </c:pt>
                <c:pt idx="5">
                  <c:v>ค่าที่ดินและสิ่งก่อสร้าง</c:v>
                </c:pt>
                <c:pt idx="6">
                  <c:v>เงินอุดหนุน</c:v>
                </c:pt>
                <c:pt idx="7">
                  <c:v>รายจ่ายอื่น</c:v>
                </c:pt>
                <c:pt idx="8">
                  <c:v>รวมงบประมาณ</c:v>
                </c:pt>
              </c:strCache>
            </c:strRef>
          </c:cat>
          <c:val>
            <c:numRef>
              <c:f>Sheet1!$C$6:$C$14</c:f>
              <c:numCache>
                <c:formatCode>_(* #,##0.00_);_(* \(#,##0.00\);_(* "-"??_);_(@_)</c:formatCode>
                <c:ptCount val="9"/>
                <c:pt idx="0">
                  <c:v>65570790.399999999</c:v>
                </c:pt>
                <c:pt idx="1">
                  <c:v>12570043.57</c:v>
                </c:pt>
                <c:pt idx="2">
                  <c:v>16795845.690000001</c:v>
                </c:pt>
                <c:pt idx="3">
                  <c:v>4083664.74</c:v>
                </c:pt>
                <c:pt idx="4">
                  <c:v>2153140</c:v>
                </c:pt>
                <c:pt idx="5">
                  <c:v>0</c:v>
                </c:pt>
                <c:pt idx="6">
                  <c:v>5108011</c:v>
                </c:pt>
                <c:pt idx="7">
                  <c:v>31816822.039999999</c:v>
                </c:pt>
                <c:pt idx="8">
                  <c:v>138098317.44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D-4EBF-A508-BF2431545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45152"/>
        <c:axId val="298245632"/>
      </c:barChart>
      <c:lineChart>
        <c:grouping val="standard"/>
        <c:varyColors val="0"/>
        <c:ser>
          <c:idx val="2"/>
          <c:order val="2"/>
          <c:tx>
            <c:strRef>
              <c:f>Sheet1!$D$5</c:f>
              <c:strCache>
                <c:ptCount val="1"/>
                <c:pt idx="0">
                  <c:v>ร้อยละการเบิกจ่าย (%)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Sheet1!$A$6:$A$14</c:f>
              <c:strCache>
                <c:ptCount val="9"/>
                <c:pt idx="0">
                  <c:v>เงินเดือนและค่าจ้างประจำ</c:v>
                </c:pt>
                <c:pt idx="1">
                  <c:v>ค่าจ้างชั่วคราว</c:v>
                </c:pt>
                <c:pt idx="2">
                  <c:v>ค่าตอบแทนใช้สอยและวัสดุ</c:v>
                </c:pt>
                <c:pt idx="3">
                  <c:v>ค่าสาธารณูปโภค</c:v>
                </c:pt>
                <c:pt idx="4">
                  <c:v>ค่าครุภัณฑ์</c:v>
                </c:pt>
                <c:pt idx="5">
                  <c:v>ค่าที่ดินและสิ่งก่อสร้าง</c:v>
                </c:pt>
                <c:pt idx="6">
                  <c:v>เงินอุดหนุน</c:v>
                </c:pt>
                <c:pt idx="7">
                  <c:v>รายจ่ายอื่น</c:v>
                </c:pt>
                <c:pt idx="8">
                  <c:v>รวมงบประมาณ</c:v>
                </c:pt>
              </c:strCache>
            </c:strRef>
          </c:cat>
          <c:val>
            <c:numRef>
              <c:f>Sheet1!$D$6:$D$14</c:f>
              <c:numCache>
                <c:formatCode>0.00</c:formatCode>
                <c:ptCount val="9"/>
                <c:pt idx="0">
                  <c:v>45.518656801378604</c:v>
                </c:pt>
                <c:pt idx="1">
                  <c:v>43.321076543975742</c:v>
                </c:pt>
                <c:pt idx="2">
                  <c:v>30.268047849761263</c:v>
                </c:pt>
                <c:pt idx="3">
                  <c:v>64.418228195542099</c:v>
                </c:pt>
                <c:pt idx="4">
                  <c:v>39.311966639036271</c:v>
                </c:pt>
                <c:pt idx="5">
                  <c:v>0</c:v>
                </c:pt>
                <c:pt idx="6">
                  <c:v>26.625579892205209</c:v>
                </c:pt>
                <c:pt idx="7">
                  <c:v>54.677577221747619</c:v>
                </c:pt>
                <c:pt idx="8">
                  <c:v>41.86716282941309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0D-4EBF-A508-BF2431545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245152"/>
        <c:axId val="298245632"/>
      </c:lineChart>
      <c:catAx>
        <c:axId val="29824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98245632"/>
        <c:crosses val="autoZero"/>
        <c:auto val="1"/>
        <c:lblAlgn val="ctr"/>
        <c:lblOffset val="100"/>
        <c:noMultiLvlLbl val="0"/>
      </c:catAx>
      <c:valAx>
        <c:axId val="29824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9824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bma03488</dc:creator>
  <cp:keywords/>
  <dc:description/>
  <cp:lastModifiedBy>bma03488</cp:lastModifiedBy>
  <cp:revision>1</cp:revision>
  <dcterms:created xsi:type="dcterms:W3CDTF">2023-05-24T02:00:00Z</dcterms:created>
  <dcterms:modified xsi:type="dcterms:W3CDTF">2023-05-24T02:08:00Z</dcterms:modified>
</cp:coreProperties>
</file>