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การจดทะเบียนสมรส กรณีบุคคลต่างด้าว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ผู้ร้องขอจดทะเบียนสมรสฝ่ายใดฝ่ายหนึ่ง หรือทั้งสองฝ่ายเป็นบุคคลต่างด้าว ยื่นคำร้องต่อนายทะเบียนณฝ่ายทะเบียนสำนักงานเขตแห่งใดก็ได้ โดยผู้ร้องที่เป็นบุคคลต่างด้าวต้องมีหนังสือรับรองของสถานเอกอัครราชทูตหรือสถานกงสุลของผู้ร้องในประเทศไทย หรือจากองค์การที่รัฐบาลประเทศนั้นมอบหมาย พร้อมรับรองคำแปลภาษาไทยโดยกระทรวงการต่างประเทศหรือสถานทูตหรือสถานกงสุลของไทยมาแสดง ซึ่งหนังสือรับรองจะต้องระบุในเรื่องต่อไปนี้</w:t>
        <w:br/>
        <w:t xml:space="preserve"/>
        <w:br/>
        <w:t xml:space="preserve">1. ผู้ร้องมีคุณสมบัติครบถ้วนตามกฎหมายไทย และเหมาะสมที่จะทำการสมรสกับบุคคลสัญชาติไทยหรือไม่</w:t>
        <w:br/>
        <w:t xml:space="preserve"/>
        <w:br/>
        <w:t xml:space="preserve">2. ผู้ร้องประกอบอาชีพอะไร และมีรายได้เท่าใด</w:t>
        <w:br/>
        <w:t xml:space="preserve"/>
        <w:br/>
        <w:t xml:space="preserve">3. ภาวะทางการสมรสของผู้ร้องเป็นโสด หรือสมรสแล้ว หากสมรสแล้วมีภาระผูกพันที่ต้องรับผิดชอบในเรื่องอะไรบ้าง</w:t>
        <w:br/>
        <w:t xml:space="preserve"/>
        <w:br/>
        <w:t xml:space="preserve">4. ระบุชื่อบุคคลที่ทางราชการสามารถติดต่อและขอทราบข้อเท็จจริงเพิ่มเติมได้ จำนวน 2 คน ซึ่งมีถิ่นที่อยู่หรือภูมิลำเนาเดียวกันกับผู้ร้อง</w:t>
        <w:br/>
        <w:t xml:space="preserve"/>
        <w:br/>
        <w:t xml:space="preserve">คุณสมบัติของผู้จดทะเบียนสมรส</w:t>
        <w:br/>
        <w:t xml:space="preserve"/>
        <w:br/>
        <w:t xml:space="preserve">1. ชายและหญิงมีอายุครบ 17 ปี บริบูรณ์ กรณีมีเหตุอันสมควร ศาลอาจอนุญาตให้ทำการสมรสก่อนที่ชายและหญิงมีอายุครบ 17 ปีบริบูรณ์ได้</w:t>
        <w:br/>
        <w:t xml:space="preserve"/>
        <w:br/>
        <w:t xml:space="preserve">2. ชายหรือหญิงไม่เป็นบุคคลวิกลจริตหรือเป็นบุคคลซึ่งศาลสั่งให้เป็นคนไร้ความสามารถ</w:t>
        <w:br/>
        <w:t xml:space="preserve"/>
        <w:br/>
        <w:t xml:space="preserve">3. ชายหญิงไม่เป็นญาติสืบสายโลหิตโดยตรงขึ้นไปหรืองลงมา ไม่เป็นพี่น้องร่วมบิดามารดา หรือร่วมแต่บิดาหรือมารดา</w:t>
        <w:br/>
        <w:t xml:space="preserve"/>
        <w:br/>
        <w:t xml:space="preserve">4. ผู้รับบุตรบุญธรรมและบุตรบุญธรรมจะสมรสกันไม่ได้</w:t>
        <w:br/>
        <w:t xml:space="preserve"/>
        <w:br/>
        <w:t xml:space="preserve">5. ชายหรือหญิงจะสมรสในขณะที่ตนมีคู่สมรสอยู่ไม่ได้</w:t>
        <w:br/>
        <w:t xml:space="preserve"/>
        <w:br/>
        <w:t xml:space="preserve">6. หญิงหม้ายจะสมรสใหม่ได้ต่อเมื่อการสมรสครั้งก่อนสิ้นสุดไปแล้วเป็นเวลาไม่น้อยกว่า 310 วัน เว้นแต่</w:t>
        <w:br/>
        <w:t xml:space="preserve"/>
        <w:br/>
        <w:t xml:space="preserve">6.1 คลอดบุตรแล้วในระหว่างนั้น</w:t>
        <w:br/>
        <w:t xml:space="preserve"/>
        <w:br/>
        <w:t xml:space="preserve">6.2 สมรสกับคู่สมรสเดิม</w:t>
        <w:br/>
        <w:t xml:space="preserve"/>
        <w:br/>
        <w:t xml:space="preserve">6.3 มีใบรับรองแพทย์ประกาศนียบัตรหรือปริญญาซึ่งเป็นผู้ประกอบการรักษาโรคในสาขาเวชกรรมได้ตามกฎหมายว่ามิได้ตั้งครรภ์</w:t>
        <w:br/>
        <w:t xml:space="preserve"/>
        <w:br/>
        <w:t xml:space="preserve">6.4 มีคำสั่งศาลให้สมรสได้</w:t>
        <w:br/>
        <w:t xml:space="preserve"/>
        <w:br/>
        <w:t xml:space="preserve">7. ผู้เยาว์จะทำการสมรสต้องได้รับความยินยอมจากผู้มีอำนาจให้ความยินยอมได้ตามกฏหมาย</w:t>
        <w:br/>
        <w:t xml:space="preserve"/>
        <w:br/>
        <w:t xml:space="preserve">8. ชายและหญิงแสดงการยินยอมเป็นสามีภรรยากันโดยเปิดเผยต่อหน้านายทะเบียน</w:t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จัดทำคำร้องให้ผู้ร้องลงลายมือชื่อ</w:t>
              <w:br/>
              <w:t xml:space="preserve">2 ตรวจสอบความถูกต้องของหลักฐานและคุณสมบัติของผู้ร้อง พร้อมทั้งสอบสวนปากคำผู้ร้อง ประกอบการพิจารณาอนุญาต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-  จัดทำเอกสารการจดทะเบียนสมรสให้ผู้ร้อง พยาน นายทะเบียน ลงลายมือชื่อ</w:t>
              <w:br/>
              <w:t xml:space="preserve">-  มอบใบสำคัญการสมรส</w:t>
              <w:br/>
              <w:t xml:space="preserve">กรณีไม่อนุญาต</w:t>
              <w:br/>
              <w:t xml:space="preserve">- 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หนังสือเดินทาง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นเอกอัครราชทูตหรือสถานกงสุลของผู้ร้องในประเทศไทยหรือจากองค์การที่รัฐบาลประเทศนั้นมอบหมาย พร้อมรับรองคำแปลภาษาไทยโดยกระทรวงการต่างประเทศ หรือสถานทูตหรือสถานกงสุลของไทย (กรณีบุคคลต่างด้าว)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 (กรณีผู้ร้องยังไม่บรรลุนิติภาวะและผู้มีอำนาจให้ความยินยอมไม่ได้มาด้วย)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หลักฐานการหย่า (กรณีผู้ร้องเคยจดทะเบียนสมรส) หรือหลักฐานการตาย (กรณีคู่สมรสตาย)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คำพิพากษาหรือคำสั่งศาลที่ให้จดทะเบียนสมรสพร้อมคำรับรองว่าถูกต้อง (กรณีมีคำพิพากษาหรือคำสั่งศาล)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 2 คน พร้อมบัตรประจำตัว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ล่าม 1 คน พร้อมบัตรประจำตัว (กรณีผู้ร้องเป็นบุคคลต่างด้าวที่ไม่สามารถสื่อสารและเข้าใจภาษาไทยได้)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ไม่เก็บค่าธรรมเนียม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การจดทะเบียนสมรส กรณีบุคคลต่างด้าว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พระราชบัญญัติจดทะเบียนครอบครัว พ.ศ.2478 (รวมฉบับแก้ไขเพิ่มเติมถึงฉบับที่ 3 พ.ศ.2533)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ระเบียบกระทรวงมหาดไทยว่าด้วยการจดทะเบียนครอบครัว พ.ศ.2541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หนังสือกรมการปกครอง ที่ มท 0309.3/ว3660 ลงวันที่ 22 กุมภาพันธ์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หนังสือกรมการปกครอง ที่ มท 0310.2/ว1170 ลงวันที่ 31 พฤษภาคม 2543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ประมวลกฏหมายแพ่งและพาณิชย์ บรรพ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การจดทะเบียนสมรส กรณีบุคคลต่างด้าว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