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การเปลี่ยนชื่อตัว การตั้งและเปลี่ยนชื่อรอง (กรณีใช้ราชทินนามตนเป็นชื่อตัวหรือชื่อรอง)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หลักเกณฑ์การเปลี่ยนชื่อตัว การตั้งและเปลี่ยนชื่อรอง</w:t>
        <w:br/>
        <w:t xml:space="preserve"/>
        <w:br/>
        <w:t xml:space="preserve">1. ต้องไม่พ้องหรือมุ่งหมายให้คล้ายกับพระปรมาภิไธย พระนามของพระราชินีหรือราชทินนาม</w:t>
        <w:br/>
        <w:t xml:space="preserve"/>
        <w:br/>
        <w:t xml:space="preserve">2. ต้องไม่คำหรือความหมายหยาบคาย</w:t>
        <w:br/>
        <w:t xml:space="preserve"/>
        <w:br/>
        <w:t xml:space="preserve">3. ผู้ได้รับหรือเคยได้รับพระราชทานบรรดาศักดิ์ แต่ได้ออกจากบรรดาศักดิ์นั้น โดยมิได้ถูกถอดถอนจะใช้ราชทินนามเป็นชื่อตัว หรือชื่อรองก็ได้</w:t>
        <w:br/>
        <w:t xml:space="preserve"/>
        <w:br/>
        <w:t xml:space="preserve">4. ชื่อรองต้องไม่พ้องกับชื่อสกุลของบุคคลอื่น เว้นแต่คู่สมรสใช้ชื่อสกุลของอีกฝ่ายหนึ่งเป็นชื่อรองโดยได้รับความยินยอมของฝ่ายนั้นแล้ว</w:t>
        <w:br/>
        <w:t xml:space="preserve"/>
        <w:br/>
        <w:t xml:space="preserve">5. กรณีบุตรที่ชอบด้วยกฎหมายมีสิทธิใช้ชื่อสกุลเดิมของมารดา หรือบิดาเป็นชื่อรองก็ได้</w:t>
        <w:br/>
        <w:t xml:space="preserve"/>
        <w:br/>
        <w:t xml:space="preserve">6. ต้องไม่มีเจตนาทุจริต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  -  ออกหนังสือสำคัญแสดงการเปลี่ยนชื่อตัว การตั้งหรือเปลี่ยนชื่อรอง (ช.3)/ มอบหนังสือสำคัญให้กับผู้ยื่นคำขอ</w:t>
              <w:br/>
              <w:t xml:space="preserve">กรณีไม่อนุญาต</w:t>
              <w:br/>
              <w:t xml:space="preserve">       -  แจ้งเหตุผลไม่อาจดำเนินการได้ และแจ้งสิทธิในการอุทธรณ์คำสั่งภายใน 30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สำเนาทะเบียนบัตรฐานันดร ซึ่งได้รับรองจากสำนักเลขาธิการคณะรัฐมนตรี (กรณีใช้ราชทินนามของตนเป็นชื่อตัวหรือชื่อรอง)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(ถ้ามี) เช่น สูติบัตร ทะเบียนชื่อตัว ชื่อรอง ทะเบียนรับบุตรบุญธรรม ทะเบียนสมรส ทะเบียนการหย่าซึ่งระบุอำนาจการปกครองบุตร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ให้เป็นไปตามกฎกระทรวงกำหนดหลักเกณฑ์ และวิธีการจดทะเบียนชื่อสกุล  และค่าธรรมเนียมการออกหนังสือสำคัญ พ.ศ. 2550</w:t>
              <w:br/>
              <w:t xml:space="preserve">(ยกเว้นกรณีการตั้งชื่อรองครั้งแรกไม่เสียค่าธรรมเนียม)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ทะเบียนชื่อตัว  ชื่อรอง (ช.3/1)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หนังสือสำคัญแสดงการเปลี่ยนชื่อตัว การตั้งหรือเปลี่ยนชื่อรอง (ช.3)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การเปลี่ยนชื่อตัว การตั้งและเปลี่ยนชื่อรอง (กรณีใช้ราชทินนามตนเป็นชื่อตัวหรือชื่อรอง)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กำหนดหลักเกณฑ์และวิธีการจดทะเบียนชื่อสกุล และค่าธรรมเนียมการออกหนังสือสำคัญ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การเปลี่ยนชื่อตัว การตั้งและเปลี่ยนชื่อรอง (กรณีใช้ราชทินนามตนเป็นชื่อตัวหรือชื่อรอง)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