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การเปรียบเทียบคดีความผิดเกี่ยวกับการทะเบียนราษฎร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ผู้ใดฝ่าฝืนไม่ปฏิบัติตามบทบัญญัติแห่งพระราชบัญญัติการทะเบียนราษฎร พ.ศ.2534 หรือตามกฎกระทรวงที่ออกตามมาตรา 5 แห่งกฎหมายดังกล่าว ต้องระวางโทษตามที่กฎหมายกำหนดไว้ และความผิดที่มีโทษปรับสถานเดียวตามพระราชบัญญัติการทะเบียนราษฎร พ.ศ.2534 ให้นายทะเบียนท้องถิ่นมีอำนาจเปรียบเทียบได้</w:t>
        <w:br/>
        <w:t xml:space="preserve"/>
        <w:br/>
        <w:t xml:space="preserve">หมายเหตุ</w:t>
        <w:br/>
        <w:t xml:space="preserve"/>
        <w:br/>
        <w:t xml:space="preserve">   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 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 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ตรวจสอบหลักฐานและบันทึกการเปรียบเทียบปรับตามฐานความผิด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กรณีคดีไม่ขาดอายุความ</w:t>
              <w:br/>
              <w:t xml:space="preserve">     -  เปรียบเทียบปรับ หากผู้ต้องหาไม่ยินยอมเสียค่าปรับ  ให้ส่งตัวผู้ต้องหาพร้อมหนังสือแจ้งดำเนินคดีและบันทึกการเปรียบเทียบให้พนักงานสอบสวนสถานีตำรวจนครบาลท้องที่</w:t>
              <w:br/>
              <w:t xml:space="preserve">กรณีขาดอายุความ</w:t>
              <w:br/>
              <w:t xml:space="preserve">        -  มีหนังสือส่งตัวผู้ต้องหา พร้อมบันทึกการเปรียบเทียบให้พนักงานสอบสวนสถานีตำรวจนครบาลท้องที่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(บัตรประจำตัวประชาชนของผู้ต้องหา)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การเปรียบเทียบคดีความผิดเกี่ยวกับการทะเบียนราษฎร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พระราชบัญญัติการทะเบียนราษฎร พ.ศ.2534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-ไม่ระบุ-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การเปรียบเทียบคดีความผิดเกี่ยวกับการทะเบียนราษฎร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