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เมื่อปรากฏว่าบุคคลในทะเบียนบ้านนั้นตายแล้ว ควรจำหน่ายรายการบุคคลออกจากทะเบียนบ้านเพื่อให้เป็นปัจจุบันและถูกต้องตามหลักฐานข้อมูลทะเบียนราษฎร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ตรวจสอบความถูกต้องหลักฐานของผู้ร้อง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 </w:t>
              <w:br/>
              <w:t xml:space="preserve">   - 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กรณีบุคคลในทะเบียนบ้านตายแต่ยัง ไม่ได้จำหน่ายชื่อและรายการบุคคลออกจากทะเบียนบ้าน โดยมีหลักฐานการตาย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