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การแจ้งการตาย กรณีคนที่ตายในท้องที่สำนักทะเบียนอื่น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ผู้แจ้งต่อนายทะเบียนสำนักงานเขตแห่งท้องที่ที่มีคนตายภายใน 24 ชั่วโมง นับแต่เวลาตาย กรณีไม่มีเจ้าบ้านให้ผู้พบแจ้งภายใน 24 ชั่วโมง นับแต่เวลาพบศพ ถ้าไม่แจ้งภายในระยะเวลาที่กำหนดต้องระวางโทษปรับไม่เกิน 1,000 บาท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1.กรณีอนุญาต                    </w:t>
              <w:br/>
              <w:t xml:space="preserve"> - จัดทำมรณบัตร    </w:t>
              <w:br/>
              <w:t xml:space="preserve">- แจ้งให้ผู้ร้องนำมรณบัตรไปจำหน่ายตายที่สำนักทะเบียนที่ผู้ตายมีชื่ออยู่                            </w:t>
              <w:br/>
              <w:t xml:space="preserve">2.กรณีไม่อนุญาต                </w:t>
              <w:br/>
              <w:t xml:space="preserve"> - แจ้งเหตุผลที่ไม่อาจดำเนินการได้ และแจ้งสิทธิในการอุทธรณ์คำสั่ง   ภายใน  15 วัน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หลักฐานของผู้ตาย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บันทึกประจำวันในท้องที่ที่พบศพ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ให้เป็นไปตามกฎกระทรวงกำหนดอัตราค่าธรรมเนียมการทะเบียนราษฎร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การแจ้งการตาย กรณีคนที่ตายในท้องที่สำนักทะเบียนอื่น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การแจ้งการตาย กรณีคนที่ตายในท้องที่สำนักทะเบียนอื่น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