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การแจ้งเกิดเกินกำหนดเวลา (เกิดในท้องที่สำนักทะเบียน)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เมื่อมีคนเกิดในบ้านให้เจ้าบ้าน บิดาหรือมารดา แจ้งต่อนายทะเบียนผู้รับแจ้ง ณ สำนักทะเบียนแห่งท้องที่ที่เด็กเกิดภายใน 15 วันนับแต่วันที่เกิด กรณีไม่แจ้งภายในกำหนดเวลาต้องระวางโทษปรับไม่เกิน 1000 บาท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1.ตรวจสอบความถูกต้องของหลักฐาน</w:t>
              <w:br/>
              <w:t xml:space="preserve">2.ตรวจรายการบุคคลในฐานข้อมูลการทะเบียนราษฎร</w:t>
              <w:br/>
              <w:t xml:space="preserve">3.สอบสวนผู้แจ้งและพยานบุคคล    </w:t>
              <w:br/>
              <w:t xml:space="preserve">4.ออกใบรับแจ้งการเกิดให้กับผู้แจ้ง</w:t>
              <w:br/>
              <w:t xml:space="preserve">5.กรณีเด็กที่ขอแจ้งเกิดมีอายุตั้งแต่ 7 ปีขึ้นไป ให้รวบรวมหลักฐานเสนอความเห็นไปยังนายอำเภอท้องที่ เพื่อพิสูจน์สถานะการเกิดและสัญชาติ</w:t>
              <w:br/>
              <w:t xml:space="preserve">6.กรณีการแจ้งการเกิดสำหรับเด็กที่มีอายุไม่เกิน 7 ปีบริบูรณ์ ให้นายทะเบียนอำเภอหรือนายทะเบียนท้องถิ่นพิสูจน์สถานะการเกิดและสัญชาติของเด็กที่เกิดแทนนาย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 วัน กรณีอายุไม่เกิน 7 ปี , 60 วัน กรณีอายุเกิน 7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จัดทำสูติบัตรและมอบเอกสาร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สำเนาทะเบียนบ้านที่ปรากฏชื่อบิดา มารดาหรือผู้ปกครองเด็กที่เกิด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บัตรประจำตัวหรือใบสำคัญประจำตัวคนต่างด้าวของบิดามารดาหรือผู้ปกครองเด็ก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รูปถ่ายของเด็กขนาด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สำเนาทะเบียนบ้านฉบับเจ้าบ้านกรณีเพิ่มชื่อเข้าทะเบียนบ้านในเขตท้องที่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การแจ้งเกิดเกินกำหนดเวลา (เกิดในท้องที่สำนักทะเบียน)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ประวัติคนต่างด้าวที่ได้รับอนุญาตให้อยู่ในราชอาณาจักรเป็นกรณีพิเศษ พ.ศ.2547 (รวมแก้ไขเพิ่มเติมถึงฉบับที่ 2 พ.ศ.2549)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กฎกระทรวงกำหนดหลักเกณฑ์และวิธีพิสูจน์สถานะการเกิดและสัญชาติของเด็ก ซึ่งถูกทอดทิ้งเด็กเร่ร่อน หรือเด็กที่ไม่ปรากฎบุพการีหรือบุพการีทอดทิ้ง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60.0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การแจ้งเกิดเกินกำหนดเวลา (เกิดในท้องที่สำนักทะเบียน)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