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การแจ้งเกิดภายในกำหนดเวลา (เกิดในท้องที่สำนักทะเบียน)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เมื่อมีคนเกิดในบ้านให้เจ้าบ้าน บิดาหรือมารดา แจ้งต่อนายทะเบียนผู้รับแจ้ง ณ สำนักทะเบียนแห่งท้องที่ที่เด็กเกิดภายใน 15 วันนับแต่วันที่เกิด กรณีไม่แจ้งภายในกำหนดเวลาต้องระวางโทษปรับไม่เกิน1,000 บาท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ตรวจสอบความถูกต้องของหลักฐานกับรายการในฐานข้อมูล</w:t>
              <w:br/>
              <w:t xml:space="preserve">2. พิมพ์คำร้องตามแบบพิมพ์ท.ร.31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 </w:t>
              <w:br/>
              <w:t xml:space="preserve">    - จัดทำสูติบัตรและมอบเอกสาร</w:t>
              <w:br/>
              <w:t xml:space="preserve">กรณีไม่อนุญาต </w:t>
              <w:br/>
              <w:t xml:space="preserve">    -  แจ้งเหตุผลที่ไม่อาจดำเนินการได้และแจ้งสิทธิในการอุทธรณ์</w:t>
              <w:br/>
              <w:t xml:space="preserve">คำสั่งภายใน 15 วัน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กรณีมอบหมายให้เรียกหลักฐานหนังสือมอบหมายบัตรประจำตัวของผู้มอบและผู้รับมอบ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หนังสือรับรองการเกิด (กรณีเกิดในสถานพยาบาล)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บัตรประจำตัวของบิดามารดา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กรณีเพิ่มชื่อเข้าในทะเบียนบ้านในเขตท้องที่ให้เรียกสำเนาทะเบียน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การแจ้งเกิดภายในกำหนดเวลา (เกิดในท้องที่สำนักทะเบียน)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ว่าด้วยการจัดทำทะเบียนประวัติคนต่างด้าวที่ได้รับอนุญาตให้อยู่ในราชอาณาจักรเป็นกรณีพิเศษ พ.ศ.2547 (รวมแก้ไขเพิ่มเติมถึงฉบับที่ 2 พ.ศ.2549)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ระเบียบสำนักทะเบียนกลางว่าด้วยการสำรวจและจัดทำทะเบียนสำหรับบุคคลที่ไม่มีสถานะทางทะเบียน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ว่าด้วยการปฏิบัติงานการทะเบียนราษฎรเพื่อประชาชน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ว่าด้วยการปฏิบัติงานการทะเบียนราษฎรเพื่อประชาชน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การแจ้งเกิดภายในกำหนดเวลา (เกิดในท้องที่สำนักทะเบียน)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