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การแจ้งย้ายเข้ากรณีย้ายกลับที่เดิม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เจ้าบ้านหรือผู้ย้ายที่อยู่จะเป็นผู้แจ้งย้ายเข้าต่อนายทะเบียนผู้รับแจ้งแห่งท้องที่ที่ออกใบแจ้งย้ายที่อยู่ภายใน 15 วัน นับแต่วันที่ย้ายเข้าอยู่ในบ้าน ถ้าไม่แจ้งภายในระยะเวลาที่กำหนดต้องระวางโทษปรับไม่เกิน 1,000 บาท</w:t>
        <w:br/>
        <w:t xml:space="preserve"/>
        <w:br/>
        <w:t xml:space="preserve">หมายเหตุ</w:t>
        <w:br/>
        <w:t xml:space="preserve"/>
        <w:br/>
        <w:t xml:space="preserve"/>
        <w:br/>
        <w:t xml:space="preserve"/>
        <w:tab/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tab/>
        <w:t xml:space="preserve"/>
        <w:br/>
        <w:t xml:space="preserve"/>
        <w:tab/>
        <w:t xml:space="preserve">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tab/>
        <w:t xml:space="preserve"/>
        <w:br/>
        <w:t xml:space="preserve"/>
        <w:tab/>
        <w:t xml:space="preserve"/>
        <w:br/>
        <w:t xml:space="preserve"/>
        <w:tab/>
        <w:t xml:space="preserve">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tab/>
        <w:t xml:space="preserve"/>
        <w:br/>
        <w:t xml:space="preserve"/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วันเสาร์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ตรวจสอบความถูกต้องของใบแจ้งย้ายที่อยู่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กรณีอนุญาต</w:t>
              <w:br/>
              <w:t xml:space="preserve">  -บันทึกข้อมูลการย้ายเข้า </w:t>
              <w:br/>
              <w:t xml:space="preserve">  -เพิ่มชื่อลงในสำเนาทะเบียนบ้านฉบับเจ้าบ้าน   </w:t>
              <w:br/>
              <w:t xml:space="preserve">  - มอบสำเนาทะเบียนบ้านฉบับเจ้าบ้านให้แก่ผู้แจ้ง</w:t>
              <w:br/>
              <w:t xml:space="preserve">2.กรณีไม่อนุญาต             </w:t>
              <w:br/>
              <w:t xml:space="preserve">   -แจ้งเหตุผลที่ไม่อาจดำเนินการได้และแจ้งสิทธิในการอุทธรณ์คำสั่งภายใน 15 วัน 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(บัตรประจำตัวประชาชน ใบอนุญาตขับรถ หรือหนังสือเดินทาง)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สำเนาทะเบียนบ้านฉบับเจ้าบ้านที่จะแจ้งย้ายเข้า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ใบแจ้งการย้ายที่อยู่ตอนที่ 1 , 2  ที่ลงลายมือชื่อเจ้าบ้านผู้ยินยอมให้ย้ายเข้าและผู้แจ้งแล้ว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สัญญาซื้อขาย (กรณีย้ายเข้าบ้านใหม่)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ใบเลขหมายประจำบ้าน (กรณีย้ายเข้าบ้านใหม่โดยขออนุญาตปลูกสร้างเอง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หนังสือมอบหมาย (กรณีมอบหมาย)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บัตรประจำตัวของผู้รับมอบหมาย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(บัตรประจำตัวประชาชน ใบอนุญาตขับรถ หรือหนังสือเดินทาง)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ไม่มีค่าธรรมแนียม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การแจ้งย้ายเข้ากรณีย้ายกลับที่เดิม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พ.ร.บ.การทะเบียนราษฎร พ.ศ. 2534 และแก้ไขเพิ่มเติม (ฉบับที่ 2)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พ.ศ.2535 (รวมแก้ไขเพิ่มเติมถึงฉบับที่ 5 พ.ศ.2551)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ระเบียบสำนักทะเบียนกลาง ว่าด้วยการปฏิบัติงานการทะเบียนราษฎรเพื่อประชาชน พ.ศ.2535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การแจ้งย้ายเข้ากรณีย้ายกลับที่เดิม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