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ผู้ใดประสงค์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  <w:br/>
        <w:t xml:space="preserve"/>
        <w:br/>
        <w:t xml:space="preserve">ต้องยื่นคำขอตามแบบ สอ.12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 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 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 พร้อมเอกสารหลักฐาน เจ้าหน้าที่ลงรับคำขอแก้ไขรายการในใบอนุญาตฯ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ตรวจสอบสถานประกอบการและการพิจารณาอนุญาต/ไม่อนุญาตให้แก้ไข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พิจารณากฎหมายอื่นที่เกี่ยวข้อง 10 วัน</w:t>
              <w:br/>
              <w:t xml:space="preserve">2. การตรวจสอบสถานประกอบการ 20 วัน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