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5"/>
        <w:gridCol w:w="2443"/>
        <w:gridCol w:w="2551"/>
        <w:gridCol w:w="1276"/>
        <w:gridCol w:w="944"/>
        <w:gridCol w:w="1749"/>
        <w:tblGridChange w:id="0">
          <w:tblGrid>
            <w:gridCol w:w="1385"/>
            <w:gridCol w:w="2443"/>
            <w:gridCol w:w="2551"/>
            <w:gridCol w:w="1276"/>
            <w:gridCol w:w="944"/>
            <w:gridCol w:w="1749"/>
          </w:tblGrid>
        </w:tblGridChange>
      </w:tblGrid>
      <w:tr>
        <w:trPr>
          <w:cantSplit w:val="0"/>
          <w:tblHeader w:val="1"/>
        </w:trPr>
        <w:tc>
          <w:tcPr>
            <w:gridSpan w:val="6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ข้อมูลโครงการที่ได้รับการจัดสรรจากกองทุนหลักประกันสุขภาพ กรุงเทพมหานคร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พ.ศ. 2566 สำนักงานเขตวังทองหลาง</w:t>
            </w:r>
          </w:p>
        </w:tc>
      </w:tr>
      <w:tr>
        <w:trPr>
          <w:cantSplit w:val="0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ปีงบประมาณ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พ.ศ.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2566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ชื่อโครงการ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วิธีดำเนินการ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กลุ่มเป้าหมาย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งบประมาณ</w:t>
            </w:r>
          </w:p>
        </w:tc>
      </w:tr>
      <w:tr>
        <w:trPr>
          <w:cantSplit w:val="0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มกราคม 2566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rabun" w:cs="Sarabun" w:eastAsia="Sarabun" w:hAnsi="Sarabun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u w:val="single"/>
                <w:rtl w:val="0"/>
              </w:rPr>
              <w:t xml:space="preserve">หมายเหตุ</w:t>
            </w:r>
          </w:p>
          <w:p w:rsidR="00000000" w:rsidDel="00000000" w:rsidP="00000000" w:rsidRDefault="00000000" w:rsidRPr="00000000" w14:paraId="0000001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บิกงบประมาณตามจำนวนที่ผ่านการพิจารณาอนุมัติโครงการจากสำนักงานกองทุนหลักประกันสุขภาพกรุงเทพมหานคร เพื่อเข้าบัญชีกองทุนหลักประกันสุขภาพกรุงเทพมหานครเขตวังทองหลาง เพื่อเบิกจ่ายให้ผู้เสนอให้ผู้เสนอโครงการต่อไป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32"/>
          <w:szCs w:val="32"/>
          <w:rtl w:val="0"/>
        </w:rPr>
        <w:t xml:space="preserve">☑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ไม่มีข้อมูลโครงการ ที่เข้าเสนอเดือนมกราคม 2566</w:t>
      </w:r>
    </w:p>
    <w:p w:rsidR="00000000" w:rsidDel="00000000" w:rsidP="00000000" w:rsidRDefault="00000000" w:rsidRPr="00000000" w14:paraId="00000020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หมายเหตุ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ดำเนินการเบิกจ่ายงบประมาณที่ผ่านการอนุมัติแล้ว</w:t>
      </w:r>
    </w:p>
    <w:p w:rsidR="00000000" w:rsidDel="00000000" w:rsidP="00000000" w:rsidRDefault="00000000" w:rsidRPr="00000000" w14:paraId="00000021">
      <w:pPr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31 มกราคม 2566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