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การสละมรดก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ฝ่ายปกครองสำนักงานเขตดินแดง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ประมวลกฎหมายแพ่งและพาณิชย์ บรรพ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>ได้บัญญัติความว่า บุคคลใดจะสละมรดกนั้น ต้องแสดงเจตนาโดยชัดแจ้งเป็นหนังสือมอบไว้แก่พนักงานเจ้าหน้าที่ หรือทำเป็นสัญญาประนีประนอมยอมความคำร้องตามแบบ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๑ ณ สำนักงานเขต พร้อมพยานอย่างน้อย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 ทั้งนี้ การสละมรดกจะกระทำได้ต่อเมื่อเจ้ามรดกเสียชีวิตแล้ว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กระบวนงาน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หรือมีความบกพร่องไม่สมบูรณ์เป็นเหตุไม่ให้สามารถพิจารณาได้ เจ้าหน้าที่จะจัดทำบันทึกความบกพร่องของรายการหรือเอกสารหลักฐานที่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ฝ่ายปกครอง สำนักงานเขตดินแดง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ถนนมิตรไมตรี  แขวงดินแดง  เขตดินแดง  กรุงเทพฯ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10400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0 2245 2658/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2.5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ผู้ร้องยื่นคำร้องตามแบบ 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๑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เจ้าหน้าที่รับคำร้อง และตรวจสอบหลักฐาน และเอกสารที่เกี่ยวข้อง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เจ้าหน้าที่สอบปากคำผู้ร้องและพยานบุคคลเพื่อยืนยันว่า เป็นผู้มีสิทธิรับมรดกในฐานะทายาทโดยธรรมหรือผู้รับพินัยกรรม และขณะทำหนังสือสละมรดกมีสติสัมปชัญญะสมบูรณ์ดี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จัดพิมพ์หนังสือสละมรดก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.6)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และทำความเห็นเสนอผู้บังคับบัญชาตามลำดับชั้นจนถึงผู้มีอำนาจลงนามอนุมัติ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ผู้มีอำนาจลงนามอนุมัติ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กรณีอนุมัติ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อ่านข้อความที่ผู้ทำหนังสือสละมรดกแจ้งไว้ให้ผู้ทำหนังสือสละมรดก และพยาน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คนฟังต่อหน้า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ผู้ทำหนังสือสละมรดกและพยานลงลายมือชื่อในหนังสือสละมรดกต่อหน้าผู้มีอำนาจลงนาม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ผู้มีอำนาจลงนามอนุมัติในหนังสือสละมรดก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.6)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พร้อมประทับตราประจำตำแหน่ง และลงนามในสมุดทะเบียน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ออกใบรับตามแบบ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8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และเก็บหนังสือสละมรดกไว้  ณ สำนักงานเขต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กรณีไม่อนุมัติ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จ้งให้ผู้ร้องทราบถึงสาเหตุที่ไม่สามารถอนุมัติการทำหนังสือสละมรดกได้และแจ้งสิทธิในการอุทธรณ์คำสั่ง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เจ้าหน้าที่ส่งมอบหนังสือสละมรดกให้กับให้กับผู้ขอรับที่มีสิทธิ  โดยคัดสำเนาไว้ แล้วลงลายมือชื่อพร้อมประทับตราประจำตำแหน่งแล้วเก็บสำเนาไว้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ใบคำร้องขอทำพินัยกรรม แบบ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4274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ฝ่ายปกครองสำนักงานเขตดินแดง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4274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341583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หลักฐานการเสียชีวิตของเจ้ามรดก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4274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8978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กรณีเป็นผู้เยาว์ บุคคลวิกลจริต หรือบุคคลผู้ไม่สามารถจัดการงานของตนเองได้ ต้องมีหลักฐานการยินยอมของบิดา มารดา ผู้ปกครอง ผู้อนุบาล ผู้พิทักษ์ หรือ คำพิพากษาหรือคำสั่งศาล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4274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828634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ฝ่ายปกครอง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สำนักงานเขตดินแดง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ถนนมิตรไมตรี  แขวงดินแดง  เขตดินแดง 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0 2245 2658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http://203.155.220.230/info/Department/telephon/DistrictOffTel.asp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การสละมรดก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ประมวลกฎหมายแพ่งและพาณิชย์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กฎกระทรวงมหาดไทย ออกตามความในมาตรา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1672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แห่งประมวลกฎหมายแพ่งและพาณิชย์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การสละมรดก  สำนักงานเขตดินแดง 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นันท์นภัส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07/11/2559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4274B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7C03-914A-42DD-8051-69EC0826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Nannabhat</cp:lastModifiedBy>
  <cp:revision>2</cp:revision>
  <dcterms:created xsi:type="dcterms:W3CDTF">2016-12-16T11:18:00Z</dcterms:created>
  <dcterms:modified xsi:type="dcterms:W3CDTF">2016-12-16T11:18:00Z</dcterms:modified>
</cp:coreProperties>
</file>