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การโอนการดำเนินกิจการที่เป็นอันตรายต่อสุขภาพ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อภ.8 พร้อมเอกสารหลักฐานที่ถูกต้องและครบถ้วนตามรายการที่ระบุที่ระบุในคู่มือนี้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เงื่อนไขในการยื่นขอโอนการดำเนินกิจการ</w:t>
        <w:br/>
        <w:t xml:space="preserve"/>
        <w:br/>
        <w:t xml:space="preserve"> - ต้องไม่ค้างชำระค่าธรรมเนียม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ผู้ขอรับใบอนุญาตยื่นคำขอโอนการดำเนินกิจการตามแบบ อภ.8 </w:t>
              <w:br/>
              <w:t xml:space="preserve">     พร้อมเอกสารหลักฐาน และเจ้าหน้าที่ลงทะเบียนรับคำขอโอนการดำเนินกิจการ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คำขอโอนการดำเนินกิจการ แบบ อภ.8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การโอนการดำเนินกิจการที่เป็นอันตรายต่อสุขภาพ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แบบ อภ.8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