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การแจ้งการแก้ไขเปลี่ยนแปลงอาคาร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31 กำหนดว่า ห้ามมิให้ผู้ใดจัดให้มีหรือดำเนินการก่อสร้าง ดัดแปลง รื้อถอน หรือเคลื่อนย้ายอาคารให้ผิดไปจากแผนผังบริเวณ แบบแปลน และรายการประกอบแบบแปลนที่ได้รับอนุญาต ตลอดจนวิธีการหรือเงื่อนไขที่เจ้าพนักงานท้องถิ่นกำหนดไว้ในใบอนุญาต หรือให้ผิดไปจากที่ได้แจ้งไว้ตามมาตรา 39ทวิ เว้นแต่</w:t>
        <w:br/>
        <w:t xml:space="preserve"/>
        <w:br/>
        <w:t xml:space="preserve"/>
        <w:br/>
        <w:t xml:space="preserve"/>
        <w:tab/>
        <w:t xml:space="preserve">เจ้าของอาคารนั้นได้ยื่นคำขออนุญาตและได้รับใบอนุญาตจากเจ้าพนักงานท้องถิ่นให้ทำการแก้ไขเปลี่ยนแปลงได้</w:t>
        <w:br/>
        <w:t xml:space="preserve"/>
        <w:tab/>
        <w:t xml:space="preserve">เจ้าของอาคารนั้นได้แจ้งการแก้ไขเปลี่ยนแปลงให้เจ้าพนักงานท้องถิ่นทราบแล้วหรือ</w:t>
        <w:br/>
        <w:t xml:space="preserve"/>
        <w:tab/>
        <w:t xml:space="preserve">การดำเนินการดังกล่าวไม่ขัดต่อกฎกระทรวงหรือข้อบัญญัติท้องถิ่นที่เกี่ยวข้องหรือเป็นกรณีตามที่กำหนดในกฎกระทรวง</w:t>
        <w:br/>
        <w:t xml:space="preserve"/>
        <w:br/>
        <w:t xml:space="preserve"/>
        <w:br/>
        <w:t xml:space="preserve">   ให้นำมาตรา 25หรือมาตรา 39ทวิ มาใช้บังคับแก่การดำเนินการตาม (1) หรือ (2) แล้วแต่กรณี โดยอนุโลม</w:t>
        <w:br/>
        <w:t xml:space="preserve"/>
        <w:br/>
        <w:t xml:space="preserve">   ในกรณีที่มีการก่อสร้าง ดัดแปลง รื้อถอน หรือเคลื่อนย้ายอาคาร เป็นการฝ่าฝืนความในวรรคหนึ่ง ให้ถือว่าเป็นการกระทำของผู้ควบคุมงาน เว้นแต่ผู้ควบคุมงานจะพิสูจน์ได้ว่าเป็นการกระทำของผู้อื่นซึ่งผู้ควบคุมงานได้มีหนังสือแจ้งข้อทักท้วงการกระทำดังกล่าวให้เจ้าของหรือผู้ครอบครองอาคาร และผู้ดำเนินการทราบแล้ว แต่บุคคลดังกล่าวไม่ยอมปฏิบัติตามผู้ใดจะก่อสร้าง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ตามกฎกระทรวง ฉบับที่ 12 (พ.ศ. 2528) ออกตามความในพระราชบัญญัติควบคุมอาคารพ.ศ. 2522 (2) (ข) กำหนดว่า เมื่อผู้คำนวณแบบแปลน รายการประกอบแบบแปลน และรายการคำนวณตามมาตรา 28 เห็นว่ามีความจำเป็นต้องเปลี่ยนแปลง ต่อเติม เพิ่ม ลด หรือขยายโครงสร้างของอาคาร เพื่อความมั่นคงแข็งแรง โดยไม่ทำให้ลักษณะ แบบ รูปทรง เนื้อที่ และที่ตั้งของอาคารผิดไปจากที่ได้รับใบอนุญาต และได้แจ้งให้ผู้ควบคุมงานและเจ้าของอาคารทราบแล้วพร้อมทั้งแจ้งเป็นหนังสือให้เจ้าพนักงานท้องถิ่นทราบโดยมีเหตุผลแสดงความจำเป็นพร้อมด้วยแบบแปลน รายการประกอบแบบแปลนและรายการคำนวณโครงสร้างของอาคารส่วนนั้นแล้ว ทั้งนี้ ต้องแจ้งก่อนใบอนุญาตก่อสร้าง ดัดแปลง รื้อถอน หรือเคลื่อนย้ายอาคาร สิ้นอายุ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5)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6)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รับทราบการแก้ไขเปลี่ยนแปลง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 และลงลายมือชื่อและ/หรือประทับตรารับรองความถูกต้อง)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การแจ้งการแก้ไขเปลี่ยนแปลงอาคาร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 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3) หนังสือมอบอำนาจ ให้ติดอากรแสตมป์ตามประมวลรัษฎากร</w:t>
        <w:br/>
        <w:t xml:space="preserve"/>
        <w:br/>
        <w:t xml:space="preserve">   4)กรณีบุคคลที่มิได้ถือสัญชาติไทยให้แสดงสำเนาหนังสือเดินทางแทนสำเนาบัตรประจำตัวประชาชน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การแจ้งการแก้ไขเปลี่ยนแปลงอาคาร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การแจ้งการแก้ไขเปลี่ยนแปลงอาคาร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